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BD2DD1" w14:textId="4EAFC30C" w:rsidR="00A7660A" w:rsidRDefault="00A7660A"/>
    <w:p w14:paraId="47DA8A3C" w14:textId="25F608B3" w:rsidR="00E332F5" w:rsidRDefault="00E332F5"/>
    <w:p w14:paraId="5D5FACB2" w14:textId="72CA212B" w:rsidR="00EA46AA" w:rsidRPr="00EA46AA" w:rsidRDefault="00C300FE" w:rsidP="00EA46AA">
      <w:pPr>
        <w:jc w:val="center"/>
        <w:rPr>
          <w:rFonts w:ascii="Times New Roman" w:eastAsia="Times New Roman" w:hAnsi="Times New Roman" w:cs="Times New Roman"/>
          <w:lang w:eastAsia="en-GB"/>
        </w:rPr>
      </w:pPr>
      <w:r>
        <w:rPr>
          <w:rFonts w:ascii="Arial" w:eastAsia="Times New Roman" w:hAnsi="Arial" w:cs="Arial"/>
          <w:b/>
          <w:sz w:val="32"/>
          <w:szCs w:val="32"/>
          <w:lang w:eastAsia="en-GB"/>
        </w:rPr>
        <w:t>R</w:t>
      </w:r>
      <w:r w:rsidR="00EA46AA" w:rsidRPr="00EA46AA">
        <w:rPr>
          <w:rFonts w:ascii="Arial" w:eastAsia="Times New Roman" w:hAnsi="Arial" w:cs="Arial"/>
          <w:b/>
          <w:sz w:val="32"/>
          <w:szCs w:val="32"/>
          <w:lang w:eastAsia="en-GB"/>
        </w:rPr>
        <w:t>ole Definition within the Lymphoedema Service</w:t>
      </w:r>
    </w:p>
    <w:p w14:paraId="3A71195B" w14:textId="77777777" w:rsidR="00EA46AA" w:rsidRPr="00EA46AA" w:rsidRDefault="00EA46AA" w:rsidP="00EA46AA">
      <w:pPr>
        <w:rPr>
          <w:rFonts w:ascii="Times New Roman" w:eastAsia="Times New Roman" w:hAnsi="Times New Roman" w:cs="Times New Roman"/>
          <w:lang w:eastAsia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66"/>
        <w:gridCol w:w="2766"/>
        <w:gridCol w:w="3059"/>
        <w:gridCol w:w="2857"/>
        <w:gridCol w:w="2726"/>
      </w:tblGrid>
      <w:tr w:rsidR="00EA46AA" w:rsidRPr="00EA46AA" w14:paraId="5DE96FD7" w14:textId="77777777" w:rsidTr="000B2812">
        <w:tc>
          <w:tcPr>
            <w:tcW w:w="2766" w:type="dxa"/>
            <w:shd w:val="clear" w:color="auto" w:fill="auto"/>
          </w:tcPr>
          <w:p w14:paraId="1FE69918" w14:textId="77777777" w:rsidR="00EA46AA" w:rsidRPr="00EA46AA" w:rsidRDefault="00EA46AA" w:rsidP="00EA46AA">
            <w:pPr>
              <w:rPr>
                <w:rFonts w:ascii="Arial" w:eastAsia="Times New Roman" w:hAnsi="Arial" w:cs="Times New Roman"/>
                <w:lang w:eastAsia="en-GB"/>
              </w:rPr>
            </w:pPr>
            <w:r w:rsidRPr="00EA46AA">
              <w:rPr>
                <w:rFonts w:ascii="Arial" w:eastAsia="Times New Roman" w:hAnsi="Arial" w:cs="Times New Roman"/>
                <w:lang w:eastAsia="en-GB"/>
              </w:rPr>
              <w:t>Clinical Lymphoedema Specialist (CLS) 7</w:t>
            </w:r>
          </w:p>
        </w:tc>
        <w:tc>
          <w:tcPr>
            <w:tcW w:w="2766" w:type="dxa"/>
            <w:shd w:val="clear" w:color="auto" w:fill="auto"/>
          </w:tcPr>
          <w:p w14:paraId="6C8BE9CF" w14:textId="77777777" w:rsidR="00EA46AA" w:rsidRPr="00EA46AA" w:rsidRDefault="00EA46AA" w:rsidP="00EA46AA">
            <w:pPr>
              <w:rPr>
                <w:rFonts w:ascii="Arial" w:eastAsia="Times New Roman" w:hAnsi="Arial" w:cs="Times New Roman"/>
                <w:lang w:eastAsia="en-GB"/>
              </w:rPr>
            </w:pPr>
            <w:r w:rsidRPr="00EA46AA">
              <w:rPr>
                <w:rFonts w:ascii="Arial" w:eastAsia="Times New Roman" w:hAnsi="Arial" w:cs="Times New Roman"/>
                <w:lang w:eastAsia="en-GB"/>
              </w:rPr>
              <w:t>Lymphoedema Practitioner (LP) 5</w:t>
            </w:r>
          </w:p>
        </w:tc>
        <w:tc>
          <w:tcPr>
            <w:tcW w:w="3059" w:type="dxa"/>
            <w:shd w:val="clear" w:color="auto" w:fill="auto"/>
          </w:tcPr>
          <w:p w14:paraId="4E959DF6" w14:textId="77777777" w:rsidR="00EA46AA" w:rsidRPr="00EA46AA" w:rsidRDefault="00EA46AA" w:rsidP="00EA46AA">
            <w:pPr>
              <w:rPr>
                <w:rFonts w:ascii="Arial" w:eastAsia="Times New Roman" w:hAnsi="Arial" w:cs="Times New Roman"/>
                <w:lang w:eastAsia="en-GB"/>
              </w:rPr>
            </w:pPr>
            <w:r w:rsidRPr="00EA46AA">
              <w:rPr>
                <w:rFonts w:ascii="Arial" w:eastAsia="Times New Roman" w:hAnsi="Arial" w:cs="Times New Roman"/>
                <w:lang w:eastAsia="en-GB"/>
              </w:rPr>
              <w:t>Advanced Lymphoedema Assistant Practitioner (ALAP) 4+</w:t>
            </w:r>
          </w:p>
        </w:tc>
        <w:tc>
          <w:tcPr>
            <w:tcW w:w="2857" w:type="dxa"/>
            <w:shd w:val="clear" w:color="auto" w:fill="auto"/>
          </w:tcPr>
          <w:p w14:paraId="5CD9D8A2" w14:textId="77777777" w:rsidR="00EA46AA" w:rsidRPr="00EA46AA" w:rsidRDefault="00EA46AA" w:rsidP="00EA46AA">
            <w:pPr>
              <w:rPr>
                <w:rFonts w:ascii="Arial" w:eastAsia="Times New Roman" w:hAnsi="Arial" w:cs="Times New Roman"/>
                <w:lang w:eastAsia="en-GB"/>
              </w:rPr>
            </w:pPr>
            <w:r w:rsidRPr="00EA46AA">
              <w:rPr>
                <w:rFonts w:ascii="Arial" w:eastAsia="Times New Roman" w:hAnsi="Arial" w:cs="Times New Roman"/>
                <w:lang w:eastAsia="en-GB"/>
              </w:rPr>
              <w:t>Lymphoedema Assistant Practitioner (LAP) 4</w:t>
            </w:r>
          </w:p>
        </w:tc>
        <w:tc>
          <w:tcPr>
            <w:tcW w:w="2726" w:type="dxa"/>
          </w:tcPr>
          <w:p w14:paraId="2C5898C4" w14:textId="77777777" w:rsidR="00EA46AA" w:rsidRPr="00EA46AA" w:rsidRDefault="00EA46AA" w:rsidP="00EA46AA">
            <w:pPr>
              <w:rPr>
                <w:rFonts w:ascii="Arial" w:eastAsia="Times New Roman" w:hAnsi="Arial" w:cs="Times New Roman"/>
                <w:lang w:eastAsia="en-GB"/>
              </w:rPr>
            </w:pPr>
            <w:r w:rsidRPr="00EA46AA">
              <w:rPr>
                <w:rFonts w:ascii="Arial" w:eastAsia="Times New Roman" w:hAnsi="Arial" w:cs="Times New Roman"/>
                <w:lang w:eastAsia="en-GB"/>
              </w:rPr>
              <w:t>Healthcare Assistant (HCA) 3</w:t>
            </w:r>
          </w:p>
        </w:tc>
      </w:tr>
      <w:tr w:rsidR="00EA46AA" w:rsidRPr="00EA46AA" w14:paraId="50E2FFFF" w14:textId="77777777" w:rsidTr="000B2812">
        <w:tc>
          <w:tcPr>
            <w:tcW w:w="2766" w:type="dxa"/>
            <w:shd w:val="clear" w:color="auto" w:fill="auto"/>
          </w:tcPr>
          <w:p w14:paraId="5F7486BC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Assesses new patients with complex needs</w:t>
            </w:r>
          </w:p>
        </w:tc>
        <w:tc>
          <w:tcPr>
            <w:tcW w:w="2766" w:type="dxa"/>
            <w:shd w:val="clear" w:color="auto" w:fill="auto"/>
          </w:tcPr>
          <w:p w14:paraId="1461CF43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Assesses new patients with mild/moderate or severe, complicated or uncomplicated lymphoedema</w:t>
            </w:r>
          </w:p>
        </w:tc>
        <w:tc>
          <w:tcPr>
            <w:tcW w:w="3059" w:type="dxa"/>
            <w:shd w:val="clear" w:color="auto" w:fill="auto"/>
          </w:tcPr>
          <w:p w14:paraId="07590593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Assesses new patients with mild to moderate lymphoedema, complicated or uncomplicated, following a medical referral</w:t>
            </w:r>
          </w:p>
        </w:tc>
        <w:tc>
          <w:tcPr>
            <w:tcW w:w="2857" w:type="dxa"/>
            <w:shd w:val="clear" w:color="auto" w:fill="auto"/>
          </w:tcPr>
          <w:p w14:paraId="7D378FC5" w14:textId="77777777" w:rsidR="00EA46AA" w:rsidRPr="00EA46AA" w:rsidRDefault="00EA46AA" w:rsidP="00EA46AA">
            <w:pPr>
              <w:rPr>
                <w:rFonts w:ascii="Arial" w:eastAsia="Times New Roman" w:hAnsi="Arial" w:cs="Times New Roman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Re-assesses patients with mild uncomplicated lymphoedema</w:t>
            </w:r>
          </w:p>
        </w:tc>
        <w:tc>
          <w:tcPr>
            <w:tcW w:w="2726" w:type="dxa"/>
          </w:tcPr>
          <w:p w14:paraId="579381AF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Assists in the assessment/re-assessment of patients with all levels of lymphoedema</w:t>
            </w:r>
          </w:p>
        </w:tc>
      </w:tr>
      <w:tr w:rsidR="00EA46AA" w:rsidRPr="00EA46AA" w14:paraId="5540C2B9" w14:textId="77777777" w:rsidTr="000B2812">
        <w:tc>
          <w:tcPr>
            <w:tcW w:w="2766" w:type="dxa"/>
            <w:shd w:val="clear" w:color="auto" w:fill="auto"/>
          </w:tcPr>
          <w:p w14:paraId="2F83C948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Leads care planning for complex patients</w:t>
            </w:r>
          </w:p>
        </w:tc>
        <w:tc>
          <w:tcPr>
            <w:tcW w:w="2766" w:type="dxa"/>
            <w:shd w:val="clear" w:color="auto" w:fill="auto"/>
          </w:tcPr>
          <w:p w14:paraId="6DCD9B5B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Plans care for complex patients with support of the clinical specialist</w:t>
            </w:r>
          </w:p>
        </w:tc>
        <w:tc>
          <w:tcPr>
            <w:tcW w:w="3059" w:type="dxa"/>
            <w:shd w:val="clear" w:color="auto" w:fill="auto"/>
          </w:tcPr>
          <w:p w14:paraId="03CDE7DA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Plans care for patients with mild to moderate uncomplicated swelling. Plans care for patients with complicated swelling with the support of the CLS or LP</w:t>
            </w:r>
          </w:p>
        </w:tc>
        <w:tc>
          <w:tcPr>
            <w:tcW w:w="2857" w:type="dxa"/>
            <w:shd w:val="clear" w:color="auto" w:fill="auto"/>
          </w:tcPr>
          <w:p w14:paraId="0D4437FE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Assists in the care of patients with mild, moderate, severe and/or complex lymphoedema</w:t>
            </w:r>
          </w:p>
        </w:tc>
        <w:tc>
          <w:tcPr>
            <w:tcW w:w="2726" w:type="dxa"/>
          </w:tcPr>
          <w:p w14:paraId="0D24BBAE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Assists in the care of patients with mild, moderate, severe and/ or complex lymphoedema</w:t>
            </w:r>
          </w:p>
        </w:tc>
      </w:tr>
      <w:tr w:rsidR="00EA46AA" w:rsidRPr="00EA46AA" w14:paraId="3BDB3517" w14:textId="77777777" w:rsidTr="000B2812">
        <w:tc>
          <w:tcPr>
            <w:tcW w:w="2766" w:type="dxa"/>
            <w:shd w:val="clear" w:color="auto" w:fill="auto"/>
          </w:tcPr>
          <w:p w14:paraId="307B1C1C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Liaises with patients and their families, along with other staff groups to implement care packages</w:t>
            </w:r>
          </w:p>
        </w:tc>
        <w:tc>
          <w:tcPr>
            <w:tcW w:w="2766" w:type="dxa"/>
            <w:shd w:val="clear" w:color="auto" w:fill="auto"/>
          </w:tcPr>
          <w:p w14:paraId="7DF21D09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Liaises with patients and their families, along with other staff groups to implement care packages</w:t>
            </w:r>
          </w:p>
        </w:tc>
        <w:tc>
          <w:tcPr>
            <w:tcW w:w="3059" w:type="dxa"/>
            <w:shd w:val="clear" w:color="auto" w:fill="auto"/>
          </w:tcPr>
          <w:p w14:paraId="4C50CB52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Liaises with patients and their families, along with other staff groups to implement care packages</w:t>
            </w:r>
          </w:p>
        </w:tc>
        <w:tc>
          <w:tcPr>
            <w:tcW w:w="2857" w:type="dxa"/>
            <w:shd w:val="clear" w:color="auto" w:fill="auto"/>
          </w:tcPr>
          <w:p w14:paraId="5294D5BD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Teaches the four corner-stones of care as directed by the clinical specialist or practitioner</w:t>
            </w:r>
          </w:p>
        </w:tc>
        <w:tc>
          <w:tcPr>
            <w:tcW w:w="2726" w:type="dxa"/>
          </w:tcPr>
          <w:p w14:paraId="32D8A268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 xml:space="preserve">Teaches the four corner-stones of care as directed by the clinical </w:t>
            </w:r>
            <w:proofErr w:type="gramStart"/>
            <w:r w:rsidRPr="00EA46AA">
              <w:rPr>
                <w:rFonts w:ascii="Arial" w:eastAsia="Times New Roman" w:hAnsi="Arial" w:cs="Arial"/>
                <w:lang w:eastAsia="en-GB"/>
              </w:rPr>
              <w:t>specialist,  practitioner</w:t>
            </w:r>
            <w:proofErr w:type="gramEnd"/>
            <w:r w:rsidRPr="00EA46AA">
              <w:rPr>
                <w:rFonts w:ascii="Arial" w:eastAsia="Times New Roman" w:hAnsi="Arial" w:cs="Arial"/>
                <w:lang w:eastAsia="en-GB"/>
              </w:rPr>
              <w:t xml:space="preserve"> or ALAP</w:t>
            </w:r>
          </w:p>
        </w:tc>
      </w:tr>
      <w:tr w:rsidR="00EA46AA" w:rsidRPr="00EA46AA" w14:paraId="67769E52" w14:textId="77777777" w:rsidTr="000B2812">
        <w:tc>
          <w:tcPr>
            <w:tcW w:w="2766" w:type="dxa"/>
            <w:shd w:val="clear" w:color="auto" w:fill="auto"/>
          </w:tcPr>
          <w:p w14:paraId="63908DDE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 xml:space="preserve">Implements and adapts </w:t>
            </w:r>
            <w:proofErr w:type="spellStart"/>
            <w:r w:rsidRPr="00EA46AA">
              <w:rPr>
                <w:rFonts w:ascii="Arial" w:eastAsia="Times New Roman" w:hAnsi="Arial" w:cs="Arial"/>
                <w:lang w:eastAsia="en-GB"/>
              </w:rPr>
              <w:t>multi layer</w:t>
            </w:r>
            <w:proofErr w:type="spellEnd"/>
            <w:r w:rsidRPr="00EA46AA">
              <w:rPr>
                <w:rFonts w:ascii="Arial" w:eastAsia="Times New Roman" w:hAnsi="Arial" w:cs="Arial"/>
                <w:lang w:eastAsia="en-GB"/>
              </w:rPr>
              <w:t xml:space="preserve"> lymphoedema bandaging (MLLB) treatment and teaches other staff groups how to safely apply MLLB</w:t>
            </w:r>
          </w:p>
        </w:tc>
        <w:tc>
          <w:tcPr>
            <w:tcW w:w="2766" w:type="dxa"/>
            <w:shd w:val="clear" w:color="auto" w:fill="auto"/>
          </w:tcPr>
          <w:p w14:paraId="3B9F67AC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 xml:space="preserve">Implements </w:t>
            </w:r>
            <w:proofErr w:type="spellStart"/>
            <w:r w:rsidRPr="00EA46AA">
              <w:rPr>
                <w:rFonts w:ascii="Arial" w:eastAsia="Times New Roman" w:hAnsi="Arial" w:cs="Arial"/>
                <w:lang w:eastAsia="en-GB"/>
              </w:rPr>
              <w:t>multi layer</w:t>
            </w:r>
            <w:proofErr w:type="spellEnd"/>
            <w:r w:rsidRPr="00EA46AA">
              <w:rPr>
                <w:rFonts w:ascii="Arial" w:eastAsia="Times New Roman" w:hAnsi="Arial" w:cs="Arial"/>
                <w:lang w:eastAsia="en-GB"/>
              </w:rPr>
              <w:t xml:space="preserve"> lymphoedema bandaging (MLLB) treatment and teaches other staff groups how to safely apply MLLB</w:t>
            </w:r>
          </w:p>
        </w:tc>
        <w:tc>
          <w:tcPr>
            <w:tcW w:w="3059" w:type="dxa"/>
            <w:shd w:val="clear" w:color="auto" w:fill="auto"/>
          </w:tcPr>
          <w:p w14:paraId="6D590C25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 xml:space="preserve">Implements </w:t>
            </w:r>
            <w:proofErr w:type="spellStart"/>
            <w:r w:rsidRPr="00EA46AA">
              <w:rPr>
                <w:rFonts w:ascii="Arial" w:eastAsia="Times New Roman" w:hAnsi="Arial" w:cs="Arial"/>
                <w:lang w:eastAsia="en-GB"/>
              </w:rPr>
              <w:t>multi layer</w:t>
            </w:r>
            <w:proofErr w:type="spellEnd"/>
            <w:r w:rsidRPr="00EA46AA">
              <w:rPr>
                <w:rFonts w:ascii="Arial" w:eastAsia="Times New Roman" w:hAnsi="Arial" w:cs="Arial"/>
                <w:lang w:eastAsia="en-GB"/>
              </w:rPr>
              <w:t xml:space="preserve"> lymphoedema bandaging (MLLB) treatment and teaches other staff groups how to safely apply MLLB following discussion with the CLS</w:t>
            </w:r>
          </w:p>
        </w:tc>
        <w:tc>
          <w:tcPr>
            <w:tcW w:w="2857" w:type="dxa"/>
            <w:shd w:val="clear" w:color="auto" w:fill="auto"/>
          </w:tcPr>
          <w:p w14:paraId="0C33DF68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Applies MLLB as directed by the clinical specialist or practitioner</w:t>
            </w:r>
          </w:p>
        </w:tc>
        <w:tc>
          <w:tcPr>
            <w:tcW w:w="2726" w:type="dxa"/>
          </w:tcPr>
          <w:p w14:paraId="3D0E44EA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Applies MLLB as directed by the clinical specialist, practitioner, or ALAP</w:t>
            </w:r>
          </w:p>
        </w:tc>
      </w:tr>
      <w:tr w:rsidR="00EA46AA" w:rsidRPr="00EA46AA" w14:paraId="3CA49A5B" w14:textId="77777777" w:rsidTr="000B2812">
        <w:tc>
          <w:tcPr>
            <w:tcW w:w="2766" w:type="dxa"/>
            <w:shd w:val="clear" w:color="auto" w:fill="auto"/>
          </w:tcPr>
          <w:p w14:paraId="4CA49D69" w14:textId="6D8556C5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lastRenderedPageBreak/>
              <w:t>Lia</w:t>
            </w:r>
            <w:bookmarkStart w:id="0" w:name="_GoBack"/>
            <w:bookmarkEnd w:id="0"/>
            <w:r w:rsidRPr="00EA46AA">
              <w:rPr>
                <w:rFonts w:ascii="Arial" w:eastAsia="Times New Roman" w:hAnsi="Arial" w:cs="Arial"/>
                <w:lang w:eastAsia="en-GB"/>
              </w:rPr>
              <w:t>ises with community team to co-ordinate care</w:t>
            </w:r>
          </w:p>
        </w:tc>
        <w:tc>
          <w:tcPr>
            <w:tcW w:w="2766" w:type="dxa"/>
            <w:shd w:val="clear" w:color="auto" w:fill="auto"/>
          </w:tcPr>
          <w:p w14:paraId="62379504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Liaises with community team to co-ordinate care</w:t>
            </w:r>
          </w:p>
        </w:tc>
        <w:tc>
          <w:tcPr>
            <w:tcW w:w="3059" w:type="dxa"/>
            <w:shd w:val="clear" w:color="auto" w:fill="auto"/>
          </w:tcPr>
          <w:p w14:paraId="095CAC6C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Liaises with community team to co-ordinate care</w:t>
            </w:r>
          </w:p>
        </w:tc>
        <w:tc>
          <w:tcPr>
            <w:tcW w:w="2857" w:type="dxa"/>
            <w:shd w:val="clear" w:color="auto" w:fill="auto"/>
          </w:tcPr>
          <w:p w14:paraId="434F6946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Liaises with community team in consultation with clinical specialist or practitioner to report on the outcome of treatments</w:t>
            </w:r>
          </w:p>
        </w:tc>
        <w:tc>
          <w:tcPr>
            <w:tcW w:w="2726" w:type="dxa"/>
          </w:tcPr>
          <w:p w14:paraId="58868B8E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Liaises with community team in consultation with clinical specialist, practitioner or ALAP to report on the outcome of treatments</w:t>
            </w:r>
          </w:p>
        </w:tc>
      </w:tr>
      <w:tr w:rsidR="00EA46AA" w:rsidRPr="00EA46AA" w14:paraId="0B98C025" w14:textId="77777777" w:rsidTr="000B2812">
        <w:tc>
          <w:tcPr>
            <w:tcW w:w="2766" w:type="dxa"/>
            <w:shd w:val="clear" w:color="auto" w:fill="auto"/>
          </w:tcPr>
          <w:p w14:paraId="11C271BF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Requests garments via GP prescription</w:t>
            </w:r>
          </w:p>
        </w:tc>
        <w:tc>
          <w:tcPr>
            <w:tcW w:w="2766" w:type="dxa"/>
            <w:shd w:val="clear" w:color="auto" w:fill="auto"/>
          </w:tcPr>
          <w:p w14:paraId="6B927A4F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Requests garments with advice as necessary</w:t>
            </w:r>
          </w:p>
        </w:tc>
        <w:tc>
          <w:tcPr>
            <w:tcW w:w="3059" w:type="dxa"/>
            <w:shd w:val="clear" w:color="auto" w:fill="auto"/>
          </w:tcPr>
          <w:p w14:paraId="6D6B254D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Requests garments with advice as necessary</w:t>
            </w:r>
          </w:p>
        </w:tc>
        <w:tc>
          <w:tcPr>
            <w:tcW w:w="2857" w:type="dxa"/>
            <w:shd w:val="clear" w:color="auto" w:fill="auto"/>
          </w:tcPr>
          <w:p w14:paraId="4282FDDF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 xml:space="preserve">Requests garments where patients </w:t>
            </w:r>
            <w:proofErr w:type="gramStart"/>
            <w:r w:rsidRPr="00EA46AA">
              <w:rPr>
                <w:rFonts w:ascii="Arial" w:eastAsia="Times New Roman" w:hAnsi="Arial" w:cs="Arial"/>
                <w:lang w:eastAsia="en-GB"/>
              </w:rPr>
              <w:t>needs</w:t>
            </w:r>
            <w:proofErr w:type="gramEnd"/>
            <w:r w:rsidRPr="00EA46AA">
              <w:rPr>
                <w:rFonts w:ascii="Arial" w:eastAsia="Times New Roman" w:hAnsi="Arial" w:cs="Arial"/>
                <w:lang w:eastAsia="en-GB"/>
              </w:rPr>
              <w:t xml:space="preserve"> are unchanged</w:t>
            </w:r>
          </w:p>
        </w:tc>
        <w:tc>
          <w:tcPr>
            <w:tcW w:w="2726" w:type="dxa"/>
          </w:tcPr>
          <w:p w14:paraId="36523A71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 xml:space="preserve">Requests garments where patients </w:t>
            </w:r>
            <w:proofErr w:type="gramStart"/>
            <w:r w:rsidRPr="00EA46AA">
              <w:rPr>
                <w:rFonts w:ascii="Arial" w:eastAsia="Times New Roman" w:hAnsi="Arial" w:cs="Arial"/>
                <w:lang w:eastAsia="en-GB"/>
              </w:rPr>
              <w:t>needs</w:t>
            </w:r>
            <w:proofErr w:type="gramEnd"/>
            <w:r w:rsidRPr="00EA46AA">
              <w:rPr>
                <w:rFonts w:ascii="Arial" w:eastAsia="Times New Roman" w:hAnsi="Arial" w:cs="Arial"/>
                <w:lang w:eastAsia="en-GB"/>
              </w:rPr>
              <w:t xml:space="preserve"> are unchanged</w:t>
            </w:r>
          </w:p>
        </w:tc>
      </w:tr>
      <w:tr w:rsidR="00EA46AA" w:rsidRPr="00EA46AA" w14:paraId="4423711D" w14:textId="77777777" w:rsidTr="000B2812">
        <w:tc>
          <w:tcPr>
            <w:tcW w:w="2766" w:type="dxa"/>
            <w:shd w:val="clear" w:color="auto" w:fill="auto"/>
          </w:tcPr>
          <w:p w14:paraId="7E0FFCAA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Triages referrals, admits new referrals to service</w:t>
            </w:r>
          </w:p>
        </w:tc>
        <w:tc>
          <w:tcPr>
            <w:tcW w:w="2766" w:type="dxa"/>
            <w:shd w:val="clear" w:color="auto" w:fill="auto"/>
          </w:tcPr>
          <w:p w14:paraId="465D12EC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Admits new patients to service</w:t>
            </w:r>
          </w:p>
        </w:tc>
        <w:tc>
          <w:tcPr>
            <w:tcW w:w="3059" w:type="dxa"/>
            <w:shd w:val="clear" w:color="auto" w:fill="auto"/>
          </w:tcPr>
          <w:p w14:paraId="7BABC9AA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Admits new patients to service</w:t>
            </w:r>
          </w:p>
        </w:tc>
        <w:tc>
          <w:tcPr>
            <w:tcW w:w="2857" w:type="dxa"/>
            <w:shd w:val="clear" w:color="auto" w:fill="auto"/>
          </w:tcPr>
          <w:p w14:paraId="0864681C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Admits new patients to service</w:t>
            </w:r>
          </w:p>
        </w:tc>
        <w:tc>
          <w:tcPr>
            <w:tcW w:w="2726" w:type="dxa"/>
          </w:tcPr>
          <w:p w14:paraId="0EFABCA3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Admits new patients to service</w:t>
            </w:r>
          </w:p>
        </w:tc>
      </w:tr>
      <w:tr w:rsidR="00EA46AA" w:rsidRPr="00EA46AA" w14:paraId="6B9F0867" w14:textId="77777777" w:rsidTr="000B2812">
        <w:tc>
          <w:tcPr>
            <w:tcW w:w="2766" w:type="dxa"/>
            <w:shd w:val="clear" w:color="auto" w:fill="auto"/>
          </w:tcPr>
          <w:p w14:paraId="1EB72C58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Writes letters to patients GP and/or other medical staff as necessary to outline plans of care</w:t>
            </w:r>
          </w:p>
        </w:tc>
        <w:tc>
          <w:tcPr>
            <w:tcW w:w="2766" w:type="dxa"/>
            <w:shd w:val="clear" w:color="auto" w:fill="auto"/>
          </w:tcPr>
          <w:p w14:paraId="742CF865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Writes letters to patients GP and/or other medical staff as necessary to outline plans of care</w:t>
            </w:r>
          </w:p>
        </w:tc>
        <w:tc>
          <w:tcPr>
            <w:tcW w:w="3059" w:type="dxa"/>
            <w:shd w:val="clear" w:color="auto" w:fill="auto"/>
          </w:tcPr>
          <w:p w14:paraId="7C421F04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Writes letters to patients GP and/or other medical staff as necessary to outline plans of care</w:t>
            </w:r>
          </w:p>
        </w:tc>
        <w:tc>
          <w:tcPr>
            <w:tcW w:w="2857" w:type="dxa"/>
            <w:shd w:val="clear" w:color="auto" w:fill="auto"/>
          </w:tcPr>
          <w:p w14:paraId="0FACE50D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 xml:space="preserve">Writes letters to patients GP and/or other medical staff as necessary to outline changes to plans of care or the outcome of treatment in consultation with clinical specialist or practitioner </w:t>
            </w:r>
          </w:p>
        </w:tc>
        <w:tc>
          <w:tcPr>
            <w:tcW w:w="2726" w:type="dxa"/>
          </w:tcPr>
          <w:p w14:paraId="76DBDC4A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 xml:space="preserve">Writes letters to patients GP and/or other medical staff as necessary to outline changes to plans of care or the outcome of treatment in consultation with clinical </w:t>
            </w:r>
            <w:proofErr w:type="gramStart"/>
            <w:r w:rsidRPr="00EA46AA">
              <w:rPr>
                <w:rFonts w:ascii="Arial" w:eastAsia="Times New Roman" w:hAnsi="Arial" w:cs="Arial"/>
                <w:lang w:eastAsia="en-GB"/>
              </w:rPr>
              <w:t>specialist,  practitioner</w:t>
            </w:r>
            <w:proofErr w:type="gramEnd"/>
            <w:r w:rsidRPr="00EA46AA">
              <w:rPr>
                <w:rFonts w:ascii="Arial" w:eastAsia="Times New Roman" w:hAnsi="Arial" w:cs="Arial"/>
                <w:lang w:eastAsia="en-GB"/>
              </w:rPr>
              <w:t xml:space="preserve"> or ALAP</w:t>
            </w:r>
          </w:p>
        </w:tc>
      </w:tr>
      <w:tr w:rsidR="00EA46AA" w:rsidRPr="00EA46AA" w14:paraId="3D78DD8B" w14:textId="77777777" w:rsidTr="000B2812">
        <w:tc>
          <w:tcPr>
            <w:tcW w:w="2766" w:type="dxa"/>
            <w:shd w:val="clear" w:color="auto" w:fill="auto"/>
          </w:tcPr>
          <w:p w14:paraId="4F124BA2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Makes referrals to the multi-professional team</w:t>
            </w:r>
          </w:p>
        </w:tc>
        <w:tc>
          <w:tcPr>
            <w:tcW w:w="2766" w:type="dxa"/>
            <w:shd w:val="clear" w:color="auto" w:fill="auto"/>
          </w:tcPr>
          <w:p w14:paraId="0BEC5534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Makes referrals to the multi-professional team</w:t>
            </w:r>
          </w:p>
        </w:tc>
        <w:tc>
          <w:tcPr>
            <w:tcW w:w="3059" w:type="dxa"/>
            <w:shd w:val="clear" w:color="auto" w:fill="auto"/>
          </w:tcPr>
          <w:p w14:paraId="048D6D15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 xml:space="preserve">Makes referrals to the multi-professional team after consultation with </w:t>
            </w:r>
            <w:proofErr w:type="gramStart"/>
            <w:r w:rsidRPr="00EA46AA">
              <w:rPr>
                <w:rFonts w:ascii="Arial" w:eastAsia="Times New Roman" w:hAnsi="Arial" w:cs="Arial"/>
                <w:lang w:eastAsia="en-GB"/>
              </w:rPr>
              <w:t>the  clinical</w:t>
            </w:r>
            <w:proofErr w:type="gramEnd"/>
            <w:r w:rsidRPr="00EA46AA">
              <w:rPr>
                <w:rFonts w:ascii="Arial" w:eastAsia="Times New Roman" w:hAnsi="Arial" w:cs="Arial"/>
                <w:lang w:eastAsia="en-GB"/>
              </w:rPr>
              <w:t xml:space="preserve"> specialist or practitioner</w:t>
            </w:r>
          </w:p>
        </w:tc>
        <w:tc>
          <w:tcPr>
            <w:tcW w:w="2857" w:type="dxa"/>
            <w:shd w:val="clear" w:color="auto" w:fill="auto"/>
          </w:tcPr>
          <w:p w14:paraId="409E7327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 xml:space="preserve">Makes referrals to the multi-professional team after consultation with </w:t>
            </w:r>
            <w:proofErr w:type="gramStart"/>
            <w:r w:rsidRPr="00EA46AA">
              <w:rPr>
                <w:rFonts w:ascii="Arial" w:eastAsia="Times New Roman" w:hAnsi="Arial" w:cs="Arial"/>
                <w:lang w:eastAsia="en-GB"/>
              </w:rPr>
              <w:t>the  clinical</w:t>
            </w:r>
            <w:proofErr w:type="gramEnd"/>
            <w:r w:rsidRPr="00EA46AA">
              <w:rPr>
                <w:rFonts w:ascii="Arial" w:eastAsia="Times New Roman" w:hAnsi="Arial" w:cs="Arial"/>
                <w:lang w:eastAsia="en-GB"/>
              </w:rPr>
              <w:t xml:space="preserve"> specialist or practitioner</w:t>
            </w:r>
          </w:p>
        </w:tc>
        <w:tc>
          <w:tcPr>
            <w:tcW w:w="2726" w:type="dxa"/>
          </w:tcPr>
          <w:p w14:paraId="19B485AC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 xml:space="preserve">Makes referrals to the multi-professional team after consultation with </w:t>
            </w:r>
            <w:proofErr w:type="gramStart"/>
            <w:r w:rsidRPr="00EA46AA">
              <w:rPr>
                <w:rFonts w:ascii="Arial" w:eastAsia="Times New Roman" w:hAnsi="Arial" w:cs="Arial"/>
                <w:lang w:eastAsia="en-GB"/>
              </w:rPr>
              <w:t>the  clinical</w:t>
            </w:r>
            <w:proofErr w:type="gramEnd"/>
            <w:r w:rsidRPr="00EA46AA">
              <w:rPr>
                <w:rFonts w:ascii="Arial" w:eastAsia="Times New Roman" w:hAnsi="Arial" w:cs="Arial"/>
                <w:lang w:eastAsia="en-GB"/>
              </w:rPr>
              <w:t xml:space="preserve"> specialist or practitioner</w:t>
            </w:r>
          </w:p>
        </w:tc>
      </w:tr>
      <w:tr w:rsidR="00EA46AA" w:rsidRPr="00EA46AA" w14:paraId="0771C073" w14:textId="77777777" w:rsidTr="000B2812">
        <w:tc>
          <w:tcPr>
            <w:tcW w:w="2766" w:type="dxa"/>
            <w:shd w:val="clear" w:color="auto" w:fill="auto"/>
          </w:tcPr>
          <w:p w14:paraId="60D7F0F7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proofErr w:type="gramStart"/>
            <w:r w:rsidRPr="00EA46AA">
              <w:rPr>
                <w:rFonts w:ascii="Arial" w:eastAsia="Times New Roman" w:hAnsi="Arial" w:cs="Arial"/>
                <w:lang w:eastAsia="en-GB"/>
              </w:rPr>
              <w:t>Implements  packages</w:t>
            </w:r>
            <w:proofErr w:type="gramEnd"/>
            <w:r w:rsidRPr="00EA46AA">
              <w:rPr>
                <w:rFonts w:ascii="Arial" w:eastAsia="Times New Roman" w:hAnsi="Arial" w:cs="Arial"/>
                <w:lang w:eastAsia="en-GB"/>
              </w:rPr>
              <w:t xml:space="preserve"> of care for patients with complex and/or severe lymphoedema</w:t>
            </w:r>
          </w:p>
        </w:tc>
        <w:tc>
          <w:tcPr>
            <w:tcW w:w="2766" w:type="dxa"/>
            <w:shd w:val="clear" w:color="auto" w:fill="auto"/>
          </w:tcPr>
          <w:p w14:paraId="57441AE8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Implements packages of care for patients with severe lymphoedema</w:t>
            </w:r>
          </w:p>
        </w:tc>
        <w:tc>
          <w:tcPr>
            <w:tcW w:w="3059" w:type="dxa"/>
            <w:shd w:val="clear" w:color="auto" w:fill="auto"/>
          </w:tcPr>
          <w:p w14:paraId="6AC914B0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Implements packages of care for patients with mild to moderate lymphoedema</w:t>
            </w:r>
          </w:p>
        </w:tc>
        <w:tc>
          <w:tcPr>
            <w:tcW w:w="2857" w:type="dxa"/>
            <w:shd w:val="clear" w:color="auto" w:fill="auto"/>
          </w:tcPr>
          <w:p w14:paraId="3F2B9F0C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Assists with the implementation of packages of care</w:t>
            </w:r>
          </w:p>
        </w:tc>
        <w:tc>
          <w:tcPr>
            <w:tcW w:w="2726" w:type="dxa"/>
          </w:tcPr>
          <w:p w14:paraId="0781539F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Assists with the implementation of packages of care</w:t>
            </w:r>
          </w:p>
        </w:tc>
      </w:tr>
      <w:tr w:rsidR="00EA46AA" w:rsidRPr="00EA46AA" w14:paraId="28286BA1" w14:textId="77777777" w:rsidTr="000B2812">
        <w:tc>
          <w:tcPr>
            <w:tcW w:w="2766" w:type="dxa"/>
            <w:shd w:val="clear" w:color="auto" w:fill="auto"/>
          </w:tcPr>
          <w:p w14:paraId="31F0AC68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Attends MDT’s as necessary</w:t>
            </w:r>
          </w:p>
        </w:tc>
        <w:tc>
          <w:tcPr>
            <w:tcW w:w="2766" w:type="dxa"/>
            <w:shd w:val="clear" w:color="auto" w:fill="auto"/>
          </w:tcPr>
          <w:p w14:paraId="7912E732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Liaises with clinical specialist if information needs to be passed to MDT</w:t>
            </w:r>
          </w:p>
        </w:tc>
        <w:tc>
          <w:tcPr>
            <w:tcW w:w="3059" w:type="dxa"/>
            <w:shd w:val="clear" w:color="auto" w:fill="auto"/>
          </w:tcPr>
          <w:p w14:paraId="653C6C10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Liaises with clinical specialist if information needs to be passed to MDT</w:t>
            </w:r>
          </w:p>
        </w:tc>
        <w:tc>
          <w:tcPr>
            <w:tcW w:w="2857" w:type="dxa"/>
            <w:shd w:val="clear" w:color="auto" w:fill="auto"/>
          </w:tcPr>
          <w:p w14:paraId="5A0A883D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Supplies information to clinical specialist for inclusion at MDT</w:t>
            </w:r>
          </w:p>
        </w:tc>
        <w:tc>
          <w:tcPr>
            <w:tcW w:w="2726" w:type="dxa"/>
          </w:tcPr>
          <w:p w14:paraId="6119719D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Supplies information to clinical specialist for inclusion at MDT</w:t>
            </w:r>
          </w:p>
        </w:tc>
      </w:tr>
      <w:tr w:rsidR="00EA46AA" w:rsidRPr="00EA46AA" w14:paraId="19FD3E7D" w14:textId="77777777" w:rsidTr="000B2812">
        <w:tc>
          <w:tcPr>
            <w:tcW w:w="2766" w:type="dxa"/>
            <w:shd w:val="clear" w:color="auto" w:fill="auto"/>
          </w:tcPr>
          <w:p w14:paraId="31B5BFEE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Patient and service related admin</w:t>
            </w:r>
          </w:p>
        </w:tc>
        <w:tc>
          <w:tcPr>
            <w:tcW w:w="2766" w:type="dxa"/>
            <w:shd w:val="clear" w:color="auto" w:fill="auto"/>
          </w:tcPr>
          <w:p w14:paraId="2490C908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Patient and service related admin</w:t>
            </w:r>
          </w:p>
        </w:tc>
        <w:tc>
          <w:tcPr>
            <w:tcW w:w="3059" w:type="dxa"/>
            <w:shd w:val="clear" w:color="auto" w:fill="auto"/>
          </w:tcPr>
          <w:p w14:paraId="617CFAE4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Patient and service related admin</w:t>
            </w:r>
          </w:p>
        </w:tc>
        <w:tc>
          <w:tcPr>
            <w:tcW w:w="2857" w:type="dxa"/>
            <w:shd w:val="clear" w:color="auto" w:fill="auto"/>
          </w:tcPr>
          <w:p w14:paraId="12B1E582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Patient related admin</w:t>
            </w:r>
          </w:p>
        </w:tc>
        <w:tc>
          <w:tcPr>
            <w:tcW w:w="2726" w:type="dxa"/>
          </w:tcPr>
          <w:p w14:paraId="4DBE5630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Patient related admin</w:t>
            </w:r>
          </w:p>
        </w:tc>
      </w:tr>
      <w:tr w:rsidR="00EA46AA" w:rsidRPr="00EA46AA" w14:paraId="6B4FCA16" w14:textId="77777777" w:rsidTr="000B2812">
        <w:tc>
          <w:tcPr>
            <w:tcW w:w="2766" w:type="dxa"/>
            <w:shd w:val="clear" w:color="auto" w:fill="auto"/>
          </w:tcPr>
          <w:p w14:paraId="23530D17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Leads clinical supervision and team meetings</w:t>
            </w:r>
          </w:p>
        </w:tc>
        <w:tc>
          <w:tcPr>
            <w:tcW w:w="2766" w:type="dxa"/>
            <w:shd w:val="clear" w:color="auto" w:fill="auto"/>
          </w:tcPr>
          <w:p w14:paraId="4429F05D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Attends clinical supervision and team meetings</w:t>
            </w:r>
          </w:p>
        </w:tc>
        <w:tc>
          <w:tcPr>
            <w:tcW w:w="3059" w:type="dxa"/>
            <w:shd w:val="clear" w:color="auto" w:fill="auto"/>
          </w:tcPr>
          <w:p w14:paraId="17F704CB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Attends clinical supervision and team meetings</w:t>
            </w:r>
          </w:p>
        </w:tc>
        <w:tc>
          <w:tcPr>
            <w:tcW w:w="2857" w:type="dxa"/>
            <w:shd w:val="clear" w:color="auto" w:fill="auto"/>
          </w:tcPr>
          <w:p w14:paraId="7A7F8D86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Attends clinical supervision and team meetings</w:t>
            </w:r>
          </w:p>
        </w:tc>
        <w:tc>
          <w:tcPr>
            <w:tcW w:w="2726" w:type="dxa"/>
          </w:tcPr>
          <w:p w14:paraId="0A654D36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Attends clinical supervision and team meetings</w:t>
            </w:r>
          </w:p>
        </w:tc>
      </w:tr>
      <w:tr w:rsidR="00EA46AA" w:rsidRPr="00EA46AA" w14:paraId="7D72B9E2" w14:textId="77777777" w:rsidTr="000B2812">
        <w:tc>
          <w:tcPr>
            <w:tcW w:w="2766" w:type="dxa"/>
            <w:shd w:val="clear" w:color="auto" w:fill="auto"/>
          </w:tcPr>
          <w:p w14:paraId="6F08940B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Mentors the team</w:t>
            </w:r>
          </w:p>
        </w:tc>
        <w:tc>
          <w:tcPr>
            <w:tcW w:w="2766" w:type="dxa"/>
            <w:shd w:val="clear" w:color="auto" w:fill="auto"/>
          </w:tcPr>
          <w:p w14:paraId="3724531F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Mentors the ALAP</w:t>
            </w:r>
          </w:p>
        </w:tc>
        <w:tc>
          <w:tcPr>
            <w:tcW w:w="3059" w:type="dxa"/>
            <w:shd w:val="clear" w:color="auto" w:fill="auto"/>
          </w:tcPr>
          <w:p w14:paraId="0795A01C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Mentors the LAP</w:t>
            </w:r>
          </w:p>
        </w:tc>
        <w:tc>
          <w:tcPr>
            <w:tcW w:w="2857" w:type="dxa"/>
            <w:shd w:val="clear" w:color="auto" w:fill="auto"/>
          </w:tcPr>
          <w:p w14:paraId="122C0F77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Mentors the HCA</w:t>
            </w:r>
          </w:p>
        </w:tc>
        <w:tc>
          <w:tcPr>
            <w:tcW w:w="2726" w:type="dxa"/>
          </w:tcPr>
          <w:p w14:paraId="3F5A1209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Accepts support from the team as needed</w:t>
            </w:r>
          </w:p>
        </w:tc>
      </w:tr>
      <w:tr w:rsidR="00EA46AA" w:rsidRPr="00EA46AA" w14:paraId="0F5ED0B6" w14:textId="77777777" w:rsidTr="000B2812">
        <w:tc>
          <w:tcPr>
            <w:tcW w:w="2766" w:type="dxa"/>
            <w:shd w:val="clear" w:color="auto" w:fill="auto"/>
          </w:tcPr>
          <w:p w14:paraId="35521268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 xml:space="preserve">Promotes </w:t>
            </w:r>
            <w:proofErr w:type="gramStart"/>
            <w:r w:rsidRPr="00EA46AA">
              <w:rPr>
                <w:rFonts w:ascii="Arial" w:eastAsia="Times New Roman" w:hAnsi="Arial" w:cs="Arial"/>
                <w:lang w:eastAsia="en-GB"/>
              </w:rPr>
              <w:t>evidence based</w:t>
            </w:r>
            <w:proofErr w:type="gramEnd"/>
            <w:r w:rsidRPr="00EA46AA">
              <w:rPr>
                <w:rFonts w:ascii="Arial" w:eastAsia="Times New Roman" w:hAnsi="Arial" w:cs="Arial"/>
                <w:lang w:eastAsia="en-GB"/>
              </w:rPr>
              <w:t xml:space="preserve"> practice</w:t>
            </w:r>
          </w:p>
        </w:tc>
        <w:tc>
          <w:tcPr>
            <w:tcW w:w="2766" w:type="dxa"/>
            <w:shd w:val="clear" w:color="auto" w:fill="auto"/>
          </w:tcPr>
          <w:p w14:paraId="2898EAA3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 xml:space="preserve">Promotes </w:t>
            </w:r>
            <w:proofErr w:type="gramStart"/>
            <w:r w:rsidRPr="00EA46AA">
              <w:rPr>
                <w:rFonts w:ascii="Arial" w:eastAsia="Times New Roman" w:hAnsi="Arial" w:cs="Arial"/>
                <w:lang w:eastAsia="en-GB"/>
              </w:rPr>
              <w:t>evidence based</w:t>
            </w:r>
            <w:proofErr w:type="gramEnd"/>
            <w:r w:rsidRPr="00EA46AA">
              <w:rPr>
                <w:rFonts w:ascii="Arial" w:eastAsia="Times New Roman" w:hAnsi="Arial" w:cs="Arial"/>
                <w:lang w:eastAsia="en-GB"/>
              </w:rPr>
              <w:t xml:space="preserve"> practice</w:t>
            </w:r>
          </w:p>
        </w:tc>
        <w:tc>
          <w:tcPr>
            <w:tcW w:w="3059" w:type="dxa"/>
            <w:shd w:val="clear" w:color="auto" w:fill="auto"/>
          </w:tcPr>
          <w:p w14:paraId="0D6E344D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 xml:space="preserve">Promotes </w:t>
            </w:r>
            <w:proofErr w:type="gramStart"/>
            <w:r w:rsidRPr="00EA46AA">
              <w:rPr>
                <w:rFonts w:ascii="Arial" w:eastAsia="Times New Roman" w:hAnsi="Arial" w:cs="Arial"/>
                <w:lang w:eastAsia="en-GB"/>
              </w:rPr>
              <w:t>evidence based</w:t>
            </w:r>
            <w:proofErr w:type="gramEnd"/>
            <w:r w:rsidRPr="00EA46AA">
              <w:rPr>
                <w:rFonts w:ascii="Arial" w:eastAsia="Times New Roman" w:hAnsi="Arial" w:cs="Arial"/>
                <w:lang w:eastAsia="en-GB"/>
              </w:rPr>
              <w:t xml:space="preserve"> practice</w:t>
            </w:r>
          </w:p>
        </w:tc>
        <w:tc>
          <w:tcPr>
            <w:tcW w:w="2857" w:type="dxa"/>
            <w:shd w:val="clear" w:color="auto" w:fill="auto"/>
          </w:tcPr>
          <w:p w14:paraId="57D93394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 xml:space="preserve">Supports </w:t>
            </w:r>
            <w:proofErr w:type="gramStart"/>
            <w:r w:rsidRPr="00EA46AA">
              <w:rPr>
                <w:rFonts w:ascii="Arial" w:eastAsia="Times New Roman" w:hAnsi="Arial" w:cs="Arial"/>
                <w:lang w:eastAsia="en-GB"/>
              </w:rPr>
              <w:t>evidence based</w:t>
            </w:r>
            <w:proofErr w:type="gramEnd"/>
            <w:r w:rsidRPr="00EA46AA">
              <w:rPr>
                <w:rFonts w:ascii="Arial" w:eastAsia="Times New Roman" w:hAnsi="Arial" w:cs="Arial"/>
                <w:lang w:eastAsia="en-GB"/>
              </w:rPr>
              <w:t xml:space="preserve"> practice</w:t>
            </w:r>
          </w:p>
        </w:tc>
        <w:tc>
          <w:tcPr>
            <w:tcW w:w="2726" w:type="dxa"/>
          </w:tcPr>
          <w:p w14:paraId="429CAB27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 xml:space="preserve">Supports </w:t>
            </w:r>
            <w:proofErr w:type="gramStart"/>
            <w:r w:rsidRPr="00EA46AA">
              <w:rPr>
                <w:rFonts w:ascii="Arial" w:eastAsia="Times New Roman" w:hAnsi="Arial" w:cs="Arial"/>
                <w:lang w:eastAsia="en-GB"/>
              </w:rPr>
              <w:t>evidence based</w:t>
            </w:r>
            <w:proofErr w:type="gramEnd"/>
            <w:r w:rsidRPr="00EA46AA">
              <w:rPr>
                <w:rFonts w:ascii="Arial" w:eastAsia="Times New Roman" w:hAnsi="Arial" w:cs="Arial"/>
                <w:lang w:eastAsia="en-GB"/>
              </w:rPr>
              <w:t xml:space="preserve"> practice</w:t>
            </w:r>
          </w:p>
        </w:tc>
      </w:tr>
      <w:tr w:rsidR="00EA46AA" w:rsidRPr="00EA46AA" w14:paraId="779E10D2" w14:textId="77777777" w:rsidTr="000B2812">
        <w:tc>
          <w:tcPr>
            <w:tcW w:w="2766" w:type="dxa"/>
            <w:shd w:val="clear" w:color="auto" w:fill="auto"/>
          </w:tcPr>
          <w:p w14:paraId="43798BEA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 xml:space="preserve">Plans and delivers educational packages </w:t>
            </w:r>
          </w:p>
        </w:tc>
        <w:tc>
          <w:tcPr>
            <w:tcW w:w="2766" w:type="dxa"/>
            <w:shd w:val="clear" w:color="auto" w:fill="auto"/>
          </w:tcPr>
          <w:p w14:paraId="28F979E2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Assists with and contributes to delivery of educational packages</w:t>
            </w:r>
          </w:p>
        </w:tc>
        <w:tc>
          <w:tcPr>
            <w:tcW w:w="3059" w:type="dxa"/>
            <w:shd w:val="clear" w:color="auto" w:fill="auto"/>
          </w:tcPr>
          <w:p w14:paraId="05C59FD5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Assists in the delivery of educational packages</w:t>
            </w:r>
          </w:p>
        </w:tc>
        <w:tc>
          <w:tcPr>
            <w:tcW w:w="2857" w:type="dxa"/>
            <w:shd w:val="clear" w:color="auto" w:fill="auto"/>
          </w:tcPr>
          <w:p w14:paraId="099161DC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Assists in the delivery of educational packages</w:t>
            </w:r>
          </w:p>
        </w:tc>
        <w:tc>
          <w:tcPr>
            <w:tcW w:w="2726" w:type="dxa"/>
          </w:tcPr>
          <w:p w14:paraId="2963E03B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Assists in the delivery of educational packages</w:t>
            </w:r>
          </w:p>
        </w:tc>
      </w:tr>
      <w:tr w:rsidR="00EA46AA" w:rsidRPr="00EA46AA" w14:paraId="272D1728" w14:textId="77777777" w:rsidTr="000B2812">
        <w:tc>
          <w:tcPr>
            <w:tcW w:w="2766" w:type="dxa"/>
            <w:shd w:val="clear" w:color="auto" w:fill="auto"/>
          </w:tcPr>
          <w:p w14:paraId="05F83CE2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Participates in trust wide meetings at strategic level and within the palliative care team</w:t>
            </w:r>
          </w:p>
        </w:tc>
        <w:tc>
          <w:tcPr>
            <w:tcW w:w="2766" w:type="dxa"/>
            <w:shd w:val="clear" w:color="auto" w:fill="auto"/>
          </w:tcPr>
          <w:p w14:paraId="1F444F7E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May represent the lymphoedema service at lymphoedema related meetings within the trust and hospice at home</w:t>
            </w:r>
          </w:p>
        </w:tc>
        <w:tc>
          <w:tcPr>
            <w:tcW w:w="3059" w:type="dxa"/>
            <w:shd w:val="clear" w:color="auto" w:fill="auto"/>
          </w:tcPr>
          <w:p w14:paraId="1AAA60C1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Represents the lymphoedema service at hospice at home staff meetings</w:t>
            </w:r>
          </w:p>
        </w:tc>
        <w:tc>
          <w:tcPr>
            <w:tcW w:w="2857" w:type="dxa"/>
            <w:shd w:val="clear" w:color="auto" w:fill="auto"/>
          </w:tcPr>
          <w:p w14:paraId="154E86A3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Represents the lymphoedema service at hospice at home staff meetings</w:t>
            </w:r>
          </w:p>
        </w:tc>
        <w:tc>
          <w:tcPr>
            <w:tcW w:w="2726" w:type="dxa"/>
          </w:tcPr>
          <w:p w14:paraId="008FC960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Represents the lymphoedema service at hospice at home staff meetings</w:t>
            </w:r>
          </w:p>
        </w:tc>
      </w:tr>
      <w:tr w:rsidR="00EA46AA" w:rsidRPr="00EA46AA" w14:paraId="188CA274" w14:textId="77777777" w:rsidTr="000B2812">
        <w:tc>
          <w:tcPr>
            <w:tcW w:w="2766" w:type="dxa"/>
            <w:shd w:val="clear" w:color="auto" w:fill="auto"/>
          </w:tcPr>
          <w:p w14:paraId="07DE249D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</w:p>
          <w:p w14:paraId="702F5A29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Recognises signs of cellulitis and advises GP/medical staff re appropriate treatment</w:t>
            </w:r>
          </w:p>
        </w:tc>
        <w:tc>
          <w:tcPr>
            <w:tcW w:w="2766" w:type="dxa"/>
            <w:shd w:val="clear" w:color="auto" w:fill="auto"/>
          </w:tcPr>
          <w:p w14:paraId="63A2C526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</w:p>
          <w:p w14:paraId="76723AC3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Recognises signs of cellulitis and liaises with GP/medical staff to secure appropriate treatment</w:t>
            </w:r>
          </w:p>
        </w:tc>
        <w:tc>
          <w:tcPr>
            <w:tcW w:w="3059" w:type="dxa"/>
            <w:shd w:val="clear" w:color="auto" w:fill="auto"/>
          </w:tcPr>
          <w:p w14:paraId="174543A1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Recognises signs of cellulitis and liaises with GP/medical staff to secure appropriate treatment</w:t>
            </w:r>
          </w:p>
        </w:tc>
        <w:tc>
          <w:tcPr>
            <w:tcW w:w="2857" w:type="dxa"/>
            <w:shd w:val="clear" w:color="auto" w:fill="auto"/>
          </w:tcPr>
          <w:p w14:paraId="57402378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</w:p>
          <w:p w14:paraId="529DA456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Recognises signs of cellulitis and liaises with clinical specialist/</w:t>
            </w:r>
            <w:proofErr w:type="gramStart"/>
            <w:r w:rsidRPr="00EA46AA">
              <w:rPr>
                <w:rFonts w:ascii="Arial" w:eastAsia="Times New Roman" w:hAnsi="Arial" w:cs="Arial"/>
                <w:lang w:eastAsia="en-GB"/>
              </w:rPr>
              <w:t>practitioner  in</w:t>
            </w:r>
            <w:proofErr w:type="gramEnd"/>
            <w:r w:rsidRPr="00EA46AA">
              <w:rPr>
                <w:rFonts w:ascii="Arial" w:eastAsia="Times New Roman" w:hAnsi="Arial" w:cs="Arial"/>
                <w:lang w:eastAsia="en-GB"/>
              </w:rPr>
              <w:t xml:space="preserve"> order to secure appropriate treatment</w:t>
            </w:r>
          </w:p>
        </w:tc>
        <w:tc>
          <w:tcPr>
            <w:tcW w:w="2726" w:type="dxa"/>
          </w:tcPr>
          <w:p w14:paraId="04B646BF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</w:p>
          <w:p w14:paraId="5FC4B625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 xml:space="preserve">Recognises signs of cellulitis and liaises with clinical specialist/practitioner/ </w:t>
            </w:r>
            <w:proofErr w:type="gramStart"/>
            <w:r w:rsidRPr="00EA46AA">
              <w:rPr>
                <w:rFonts w:ascii="Arial" w:eastAsia="Times New Roman" w:hAnsi="Arial" w:cs="Arial"/>
                <w:lang w:eastAsia="en-GB"/>
              </w:rPr>
              <w:t>ALAP  in</w:t>
            </w:r>
            <w:proofErr w:type="gramEnd"/>
            <w:r w:rsidRPr="00EA46AA">
              <w:rPr>
                <w:rFonts w:ascii="Arial" w:eastAsia="Times New Roman" w:hAnsi="Arial" w:cs="Arial"/>
                <w:lang w:eastAsia="en-GB"/>
              </w:rPr>
              <w:t xml:space="preserve"> order to secure appropriate treatment</w:t>
            </w:r>
          </w:p>
        </w:tc>
      </w:tr>
      <w:tr w:rsidR="00EA46AA" w:rsidRPr="00EA46AA" w14:paraId="52569A88" w14:textId="77777777" w:rsidTr="000B2812">
        <w:tc>
          <w:tcPr>
            <w:tcW w:w="2766" w:type="dxa"/>
            <w:shd w:val="clear" w:color="auto" w:fill="auto"/>
          </w:tcPr>
          <w:p w14:paraId="6640FD07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Initiates, implements and monitors professional practice guidelines</w:t>
            </w:r>
          </w:p>
        </w:tc>
        <w:tc>
          <w:tcPr>
            <w:tcW w:w="2766" w:type="dxa"/>
            <w:shd w:val="clear" w:color="auto" w:fill="auto"/>
          </w:tcPr>
          <w:p w14:paraId="6637DAEB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Implements and monitors professional practice guidelines</w:t>
            </w:r>
          </w:p>
        </w:tc>
        <w:tc>
          <w:tcPr>
            <w:tcW w:w="3059" w:type="dxa"/>
            <w:shd w:val="clear" w:color="auto" w:fill="auto"/>
          </w:tcPr>
          <w:p w14:paraId="07D6605C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Implements professional practice guidelines</w:t>
            </w:r>
          </w:p>
        </w:tc>
        <w:tc>
          <w:tcPr>
            <w:tcW w:w="2857" w:type="dxa"/>
            <w:shd w:val="clear" w:color="auto" w:fill="auto"/>
          </w:tcPr>
          <w:p w14:paraId="463B6DFB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Implements professional practice guidelines</w:t>
            </w:r>
          </w:p>
        </w:tc>
        <w:tc>
          <w:tcPr>
            <w:tcW w:w="2726" w:type="dxa"/>
          </w:tcPr>
          <w:p w14:paraId="70F717BD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Implements professional practice guidelines</w:t>
            </w:r>
          </w:p>
        </w:tc>
      </w:tr>
      <w:tr w:rsidR="00EA46AA" w:rsidRPr="00EA46AA" w14:paraId="50E0EDB3" w14:textId="77777777" w:rsidTr="000B2812">
        <w:tc>
          <w:tcPr>
            <w:tcW w:w="2766" w:type="dxa"/>
            <w:shd w:val="clear" w:color="auto" w:fill="auto"/>
          </w:tcPr>
          <w:p w14:paraId="5F732A65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 xml:space="preserve">Ensures effective and efficient use of resources </w:t>
            </w:r>
          </w:p>
        </w:tc>
        <w:tc>
          <w:tcPr>
            <w:tcW w:w="2766" w:type="dxa"/>
            <w:shd w:val="clear" w:color="auto" w:fill="auto"/>
          </w:tcPr>
          <w:p w14:paraId="602E6079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 xml:space="preserve">Assists in </w:t>
            </w:r>
            <w:proofErr w:type="gramStart"/>
            <w:r w:rsidRPr="00EA46AA">
              <w:rPr>
                <w:rFonts w:ascii="Arial" w:eastAsia="Times New Roman" w:hAnsi="Arial" w:cs="Arial"/>
                <w:lang w:eastAsia="en-GB"/>
              </w:rPr>
              <w:t>the  effective</w:t>
            </w:r>
            <w:proofErr w:type="gramEnd"/>
            <w:r w:rsidRPr="00EA46AA">
              <w:rPr>
                <w:rFonts w:ascii="Arial" w:eastAsia="Times New Roman" w:hAnsi="Arial" w:cs="Arial"/>
                <w:lang w:eastAsia="en-GB"/>
              </w:rPr>
              <w:t xml:space="preserve"> and efficient use of resources</w:t>
            </w:r>
          </w:p>
        </w:tc>
        <w:tc>
          <w:tcPr>
            <w:tcW w:w="3059" w:type="dxa"/>
            <w:shd w:val="clear" w:color="auto" w:fill="auto"/>
          </w:tcPr>
          <w:p w14:paraId="6E37DE7E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 xml:space="preserve">Assists in </w:t>
            </w:r>
            <w:proofErr w:type="gramStart"/>
            <w:r w:rsidRPr="00EA46AA">
              <w:rPr>
                <w:rFonts w:ascii="Arial" w:eastAsia="Times New Roman" w:hAnsi="Arial" w:cs="Arial"/>
                <w:lang w:eastAsia="en-GB"/>
              </w:rPr>
              <w:t>the  effective</w:t>
            </w:r>
            <w:proofErr w:type="gramEnd"/>
            <w:r w:rsidRPr="00EA46AA">
              <w:rPr>
                <w:rFonts w:ascii="Arial" w:eastAsia="Times New Roman" w:hAnsi="Arial" w:cs="Arial"/>
                <w:lang w:eastAsia="en-GB"/>
              </w:rPr>
              <w:t xml:space="preserve"> and efficient use of resources</w:t>
            </w:r>
          </w:p>
        </w:tc>
        <w:tc>
          <w:tcPr>
            <w:tcW w:w="2857" w:type="dxa"/>
            <w:shd w:val="clear" w:color="auto" w:fill="auto"/>
          </w:tcPr>
          <w:p w14:paraId="705F6E1F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 xml:space="preserve">Assists in </w:t>
            </w:r>
            <w:proofErr w:type="gramStart"/>
            <w:r w:rsidRPr="00EA46AA">
              <w:rPr>
                <w:rFonts w:ascii="Arial" w:eastAsia="Times New Roman" w:hAnsi="Arial" w:cs="Arial"/>
                <w:lang w:eastAsia="en-GB"/>
              </w:rPr>
              <w:t>the  effective</w:t>
            </w:r>
            <w:proofErr w:type="gramEnd"/>
            <w:r w:rsidRPr="00EA46AA">
              <w:rPr>
                <w:rFonts w:ascii="Arial" w:eastAsia="Times New Roman" w:hAnsi="Arial" w:cs="Arial"/>
                <w:lang w:eastAsia="en-GB"/>
              </w:rPr>
              <w:t xml:space="preserve"> and efficient use of resources</w:t>
            </w:r>
          </w:p>
        </w:tc>
        <w:tc>
          <w:tcPr>
            <w:tcW w:w="2726" w:type="dxa"/>
          </w:tcPr>
          <w:p w14:paraId="1810A043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 xml:space="preserve">Assists in </w:t>
            </w:r>
            <w:proofErr w:type="gramStart"/>
            <w:r w:rsidRPr="00EA46AA">
              <w:rPr>
                <w:rFonts w:ascii="Arial" w:eastAsia="Times New Roman" w:hAnsi="Arial" w:cs="Arial"/>
                <w:lang w:eastAsia="en-GB"/>
              </w:rPr>
              <w:t>the  effective</w:t>
            </w:r>
            <w:proofErr w:type="gramEnd"/>
            <w:r w:rsidRPr="00EA46AA">
              <w:rPr>
                <w:rFonts w:ascii="Arial" w:eastAsia="Times New Roman" w:hAnsi="Arial" w:cs="Arial"/>
                <w:lang w:eastAsia="en-GB"/>
              </w:rPr>
              <w:t xml:space="preserve"> and efficient use of resources</w:t>
            </w:r>
          </w:p>
        </w:tc>
      </w:tr>
      <w:tr w:rsidR="00EA46AA" w:rsidRPr="00EA46AA" w14:paraId="7CC98245" w14:textId="77777777" w:rsidTr="000B2812">
        <w:tc>
          <w:tcPr>
            <w:tcW w:w="2766" w:type="dxa"/>
            <w:shd w:val="clear" w:color="auto" w:fill="auto"/>
          </w:tcPr>
          <w:p w14:paraId="600BD12E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Leads clinical audit</w:t>
            </w:r>
          </w:p>
        </w:tc>
        <w:tc>
          <w:tcPr>
            <w:tcW w:w="2766" w:type="dxa"/>
            <w:shd w:val="clear" w:color="auto" w:fill="auto"/>
          </w:tcPr>
          <w:p w14:paraId="4064B3CB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Assists in clinical audit</w:t>
            </w:r>
          </w:p>
        </w:tc>
        <w:tc>
          <w:tcPr>
            <w:tcW w:w="3059" w:type="dxa"/>
            <w:shd w:val="clear" w:color="auto" w:fill="auto"/>
          </w:tcPr>
          <w:p w14:paraId="725243AA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Assists in clinical audit</w:t>
            </w:r>
          </w:p>
        </w:tc>
        <w:tc>
          <w:tcPr>
            <w:tcW w:w="2857" w:type="dxa"/>
            <w:shd w:val="clear" w:color="auto" w:fill="auto"/>
          </w:tcPr>
          <w:p w14:paraId="58FAD78D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Assists in clinical audit</w:t>
            </w:r>
          </w:p>
        </w:tc>
        <w:tc>
          <w:tcPr>
            <w:tcW w:w="2726" w:type="dxa"/>
          </w:tcPr>
          <w:p w14:paraId="2A2C33BC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Assists in clinical audit</w:t>
            </w:r>
          </w:p>
        </w:tc>
      </w:tr>
      <w:tr w:rsidR="00EA46AA" w:rsidRPr="00EA46AA" w14:paraId="253D41A3" w14:textId="77777777" w:rsidTr="000B2812">
        <w:tc>
          <w:tcPr>
            <w:tcW w:w="2766" w:type="dxa"/>
            <w:shd w:val="clear" w:color="auto" w:fill="auto"/>
          </w:tcPr>
          <w:p w14:paraId="59977C23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Initiates and participates in service development</w:t>
            </w:r>
          </w:p>
        </w:tc>
        <w:tc>
          <w:tcPr>
            <w:tcW w:w="2766" w:type="dxa"/>
            <w:shd w:val="clear" w:color="auto" w:fill="auto"/>
          </w:tcPr>
          <w:p w14:paraId="23823A49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Participates in service development</w:t>
            </w:r>
          </w:p>
        </w:tc>
        <w:tc>
          <w:tcPr>
            <w:tcW w:w="3059" w:type="dxa"/>
            <w:shd w:val="clear" w:color="auto" w:fill="auto"/>
          </w:tcPr>
          <w:p w14:paraId="5602C7C1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Participates in /and complies with service developments</w:t>
            </w:r>
          </w:p>
        </w:tc>
        <w:tc>
          <w:tcPr>
            <w:tcW w:w="2857" w:type="dxa"/>
            <w:shd w:val="clear" w:color="auto" w:fill="auto"/>
          </w:tcPr>
          <w:p w14:paraId="43B60AA9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Participates in /and complies with service developments</w:t>
            </w:r>
          </w:p>
        </w:tc>
        <w:tc>
          <w:tcPr>
            <w:tcW w:w="2726" w:type="dxa"/>
          </w:tcPr>
          <w:p w14:paraId="39C3BD2D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Participates in /and complies with service developments</w:t>
            </w:r>
          </w:p>
        </w:tc>
      </w:tr>
      <w:tr w:rsidR="00EA46AA" w:rsidRPr="00EA46AA" w14:paraId="70C19A82" w14:textId="77777777" w:rsidTr="000B2812">
        <w:tc>
          <w:tcPr>
            <w:tcW w:w="2766" w:type="dxa"/>
            <w:shd w:val="clear" w:color="auto" w:fill="auto"/>
          </w:tcPr>
          <w:p w14:paraId="3A0BDF56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Is responsible for appraisal within the team</w:t>
            </w:r>
          </w:p>
        </w:tc>
        <w:tc>
          <w:tcPr>
            <w:tcW w:w="2766" w:type="dxa"/>
            <w:shd w:val="clear" w:color="auto" w:fill="auto"/>
          </w:tcPr>
          <w:p w14:paraId="7483A6E7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Complies with the appraisal process</w:t>
            </w:r>
          </w:p>
        </w:tc>
        <w:tc>
          <w:tcPr>
            <w:tcW w:w="3059" w:type="dxa"/>
            <w:shd w:val="clear" w:color="auto" w:fill="auto"/>
          </w:tcPr>
          <w:p w14:paraId="79A6E2C0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Complies with the appraisal process</w:t>
            </w:r>
          </w:p>
        </w:tc>
        <w:tc>
          <w:tcPr>
            <w:tcW w:w="2857" w:type="dxa"/>
            <w:shd w:val="clear" w:color="auto" w:fill="auto"/>
          </w:tcPr>
          <w:p w14:paraId="1255E341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Complies with the appraisal process</w:t>
            </w:r>
          </w:p>
        </w:tc>
        <w:tc>
          <w:tcPr>
            <w:tcW w:w="2726" w:type="dxa"/>
          </w:tcPr>
          <w:p w14:paraId="03FBDFB3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Complies with the appraisal process</w:t>
            </w:r>
          </w:p>
        </w:tc>
      </w:tr>
      <w:tr w:rsidR="00EA46AA" w:rsidRPr="00EA46AA" w14:paraId="547E8046" w14:textId="77777777" w:rsidTr="000B2812">
        <w:tc>
          <w:tcPr>
            <w:tcW w:w="2766" w:type="dxa"/>
            <w:shd w:val="clear" w:color="auto" w:fill="auto"/>
          </w:tcPr>
          <w:p w14:paraId="4E516E2D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Plans own clinics and home visits</w:t>
            </w:r>
          </w:p>
        </w:tc>
        <w:tc>
          <w:tcPr>
            <w:tcW w:w="2766" w:type="dxa"/>
            <w:shd w:val="clear" w:color="auto" w:fill="auto"/>
          </w:tcPr>
          <w:p w14:paraId="24FCA56B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 xml:space="preserve">Plans own clinics and home visits in consultation with clinical specialist </w:t>
            </w:r>
          </w:p>
        </w:tc>
        <w:tc>
          <w:tcPr>
            <w:tcW w:w="3059" w:type="dxa"/>
            <w:shd w:val="clear" w:color="auto" w:fill="auto"/>
          </w:tcPr>
          <w:p w14:paraId="0B62B106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Plans own clinics/home visits and assists the clinical specialist/practitioner in the planning of their workload as directed</w:t>
            </w:r>
          </w:p>
        </w:tc>
        <w:tc>
          <w:tcPr>
            <w:tcW w:w="2857" w:type="dxa"/>
            <w:shd w:val="clear" w:color="auto" w:fill="auto"/>
          </w:tcPr>
          <w:p w14:paraId="642DDAAA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Plans own clinics/home visits and assists the clinical specialist/practitioner in the planning of their workload as directed</w:t>
            </w:r>
          </w:p>
        </w:tc>
        <w:tc>
          <w:tcPr>
            <w:tcW w:w="2726" w:type="dxa"/>
          </w:tcPr>
          <w:p w14:paraId="4E2AA165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Plans own clinics/home visits and assists the clinical specialist/practitioner/ ALAP in the planning of their workload as directed</w:t>
            </w:r>
          </w:p>
        </w:tc>
      </w:tr>
      <w:tr w:rsidR="00EA46AA" w:rsidRPr="00EA46AA" w14:paraId="77E1D44C" w14:textId="77777777" w:rsidTr="000B2812">
        <w:tc>
          <w:tcPr>
            <w:tcW w:w="2766" w:type="dxa"/>
            <w:shd w:val="clear" w:color="auto" w:fill="auto"/>
          </w:tcPr>
          <w:p w14:paraId="140BDC71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Assists the running of the patient support group</w:t>
            </w:r>
          </w:p>
        </w:tc>
        <w:tc>
          <w:tcPr>
            <w:tcW w:w="2766" w:type="dxa"/>
            <w:shd w:val="clear" w:color="auto" w:fill="auto"/>
          </w:tcPr>
          <w:p w14:paraId="26149AD1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Assists the running of the patient support group</w:t>
            </w:r>
          </w:p>
        </w:tc>
        <w:tc>
          <w:tcPr>
            <w:tcW w:w="3059" w:type="dxa"/>
            <w:shd w:val="clear" w:color="auto" w:fill="auto"/>
          </w:tcPr>
          <w:p w14:paraId="7F840D80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Assists the running of the patient support group</w:t>
            </w:r>
          </w:p>
        </w:tc>
        <w:tc>
          <w:tcPr>
            <w:tcW w:w="2857" w:type="dxa"/>
            <w:shd w:val="clear" w:color="auto" w:fill="auto"/>
          </w:tcPr>
          <w:p w14:paraId="0806F5F1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>Assists the running of the patient support group</w:t>
            </w:r>
          </w:p>
        </w:tc>
        <w:tc>
          <w:tcPr>
            <w:tcW w:w="2726" w:type="dxa"/>
          </w:tcPr>
          <w:p w14:paraId="0E15DD92" w14:textId="77777777" w:rsidR="00EA46AA" w:rsidRPr="00EA46AA" w:rsidRDefault="00EA46AA" w:rsidP="00EA46AA">
            <w:pPr>
              <w:rPr>
                <w:rFonts w:ascii="Arial" w:eastAsia="Times New Roman" w:hAnsi="Arial" w:cs="Arial"/>
                <w:lang w:eastAsia="en-GB"/>
              </w:rPr>
            </w:pPr>
            <w:r w:rsidRPr="00EA46AA">
              <w:rPr>
                <w:rFonts w:ascii="Arial" w:eastAsia="Times New Roman" w:hAnsi="Arial" w:cs="Arial"/>
                <w:lang w:eastAsia="en-GB"/>
              </w:rPr>
              <w:t xml:space="preserve">Facilitates the patients support group </w:t>
            </w:r>
          </w:p>
        </w:tc>
      </w:tr>
    </w:tbl>
    <w:p w14:paraId="4322429B" w14:textId="77777777" w:rsidR="00305811" w:rsidRDefault="00305811"/>
    <w:sectPr w:rsidR="00305811" w:rsidSect="00C300FE">
      <w:headerReference w:type="default" r:id="rId7"/>
      <w:footerReference w:type="default" r:id="rId8"/>
      <w:pgSz w:w="16840" w:h="11900" w:orient="landscape"/>
      <w:pgMar w:top="1560" w:right="720" w:bottom="720" w:left="720" w:header="85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3978E4" w14:textId="77777777" w:rsidR="00DA5B47" w:rsidRDefault="00DA5B47" w:rsidP="00A7660A">
      <w:r>
        <w:separator/>
      </w:r>
    </w:p>
  </w:endnote>
  <w:endnote w:type="continuationSeparator" w:id="0">
    <w:p w14:paraId="49B02A27" w14:textId="77777777" w:rsidR="00DA5B47" w:rsidRDefault="00DA5B47" w:rsidP="00A766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EFD890" w14:textId="77777777" w:rsidR="00303F1D" w:rsidRDefault="00415591">
    <w:pPr>
      <w:pStyle w:val="Footer"/>
    </w:pPr>
    <w:r>
      <w:t>BLS Role Definition within the Lymphoedema Service</w:t>
    </w:r>
    <w:r w:rsidR="00EF70BE">
      <w:t>. Produced by Assistant Practitioner Working Group.</w:t>
    </w:r>
    <w:r>
      <w:t xml:space="preserve"> </w:t>
    </w:r>
  </w:p>
  <w:p w14:paraId="42EB2623" w14:textId="7253DC8F" w:rsidR="00415591" w:rsidRDefault="00415591">
    <w:pPr>
      <w:pStyle w:val="Footer"/>
    </w:pPr>
    <w:r>
      <w:t>Published</w:t>
    </w:r>
    <w:r w:rsidR="00303F1D">
      <w:t xml:space="preserve"> September 2017</w:t>
    </w:r>
    <w:r>
      <w:t xml:space="preserve">. Review </w:t>
    </w:r>
    <w:r w:rsidR="00303F1D">
      <w:t>September 2022</w:t>
    </w:r>
    <w:r>
      <w:t xml:space="preserve">. </w:t>
    </w:r>
  </w:p>
  <w:p w14:paraId="2824DF5E" w14:textId="109C55ED" w:rsidR="009F4096" w:rsidRDefault="009F40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4F9D63" w14:textId="77777777" w:rsidR="00DA5B47" w:rsidRDefault="00DA5B47" w:rsidP="00A7660A">
      <w:r>
        <w:separator/>
      </w:r>
    </w:p>
  </w:footnote>
  <w:footnote w:type="continuationSeparator" w:id="0">
    <w:p w14:paraId="63935B0F" w14:textId="77777777" w:rsidR="00DA5B47" w:rsidRDefault="00DA5B47" w:rsidP="00A766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35DB2A" w14:textId="77777777" w:rsidR="00A7660A" w:rsidRDefault="00A7660A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594BB88" wp14:editId="25EB3257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72011" cy="7552094"/>
          <wp:effectExtent l="0" t="0" r="0" b="4445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olour LogoOnly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72011" cy="75520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180967"/>
    <w:multiLevelType w:val="multilevel"/>
    <w:tmpl w:val="DE18D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C02BCA"/>
    <w:multiLevelType w:val="multilevel"/>
    <w:tmpl w:val="1FC88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A55D70"/>
    <w:multiLevelType w:val="multilevel"/>
    <w:tmpl w:val="DC5EA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653C2D"/>
    <w:multiLevelType w:val="multilevel"/>
    <w:tmpl w:val="A48AB04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8849EA"/>
    <w:multiLevelType w:val="multilevel"/>
    <w:tmpl w:val="C8562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8E157D"/>
    <w:multiLevelType w:val="multilevel"/>
    <w:tmpl w:val="095EBE4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364C3A"/>
    <w:multiLevelType w:val="multilevel"/>
    <w:tmpl w:val="1CF09D3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5C40520"/>
    <w:multiLevelType w:val="multilevel"/>
    <w:tmpl w:val="73446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DD20529"/>
    <w:multiLevelType w:val="multilevel"/>
    <w:tmpl w:val="57221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35157E"/>
    <w:multiLevelType w:val="multilevel"/>
    <w:tmpl w:val="8FC851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0E16B1D"/>
    <w:multiLevelType w:val="multilevel"/>
    <w:tmpl w:val="E6D4141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2D01E6A"/>
    <w:multiLevelType w:val="multilevel"/>
    <w:tmpl w:val="0A9C6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79454B2"/>
    <w:multiLevelType w:val="multilevel"/>
    <w:tmpl w:val="0346106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85B3375"/>
    <w:multiLevelType w:val="multilevel"/>
    <w:tmpl w:val="8EBC2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710932"/>
    <w:multiLevelType w:val="multilevel"/>
    <w:tmpl w:val="E1D430C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F8E7DEE"/>
    <w:multiLevelType w:val="multilevel"/>
    <w:tmpl w:val="B4604EE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7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3"/>
      <w:numFmt w:val="lowerRoman"/>
      <w:lvlText w:val="%3)"/>
      <w:lvlJc w:val="left"/>
      <w:pPr>
        <w:ind w:left="2520" w:hanging="720"/>
      </w:pPr>
      <w:rPr>
        <w:rFonts w:hint="default"/>
      </w:rPr>
    </w:lvl>
    <w:lvl w:ilvl="3">
      <w:start w:val="5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3A55FFF"/>
    <w:multiLevelType w:val="multilevel"/>
    <w:tmpl w:val="E30A9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9AD37C9"/>
    <w:multiLevelType w:val="multilevel"/>
    <w:tmpl w:val="98683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30E10D3"/>
    <w:multiLevelType w:val="multilevel"/>
    <w:tmpl w:val="301C2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402081D"/>
    <w:multiLevelType w:val="multilevel"/>
    <w:tmpl w:val="DBE0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5067D5A"/>
    <w:multiLevelType w:val="multilevel"/>
    <w:tmpl w:val="92403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AB51E56"/>
    <w:multiLevelType w:val="multilevel"/>
    <w:tmpl w:val="1C7C3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81F4AFD"/>
    <w:multiLevelType w:val="multilevel"/>
    <w:tmpl w:val="230A8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9D36597"/>
    <w:multiLevelType w:val="multilevel"/>
    <w:tmpl w:val="39B41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23"/>
  </w:num>
  <w:num w:numId="3">
    <w:abstractNumId w:val="22"/>
  </w:num>
  <w:num w:numId="4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5">
    <w:abstractNumId w:val="8"/>
  </w:num>
  <w:num w:numId="6">
    <w:abstractNumId w:val="2"/>
  </w:num>
  <w:num w:numId="7">
    <w:abstractNumId w:val="18"/>
  </w:num>
  <w:num w:numId="8">
    <w:abstractNumId w:val="13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%2."/>
        <w:lvlJc w:val="left"/>
      </w:lvl>
    </w:lvlOverride>
  </w:num>
  <w:num w:numId="9">
    <w:abstractNumId w:val="15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%2."/>
        <w:lvlJc w:val="left"/>
      </w:lvl>
    </w:lvlOverride>
  </w:num>
  <w:num w:numId="10">
    <w:abstractNumId w:val="6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%2."/>
        <w:lvlJc w:val="left"/>
      </w:lvl>
    </w:lvlOverride>
  </w:num>
  <w:num w:numId="11">
    <w:abstractNumId w:val="11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%2."/>
        <w:lvlJc w:val="left"/>
      </w:lvl>
    </w:lvlOverride>
  </w:num>
  <w:num w:numId="12">
    <w:abstractNumId w:val="1"/>
  </w:num>
  <w:num w:numId="13">
    <w:abstractNumId w:val="7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%2."/>
        <w:lvlJc w:val="left"/>
      </w:lvl>
    </w:lvlOverride>
  </w:num>
  <w:num w:numId="14">
    <w:abstractNumId w:val="19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15">
    <w:abstractNumId w:val="5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16">
    <w:abstractNumId w:val="16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%2."/>
        <w:lvlJc w:val="left"/>
      </w:lvl>
    </w:lvlOverride>
  </w:num>
  <w:num w:numId="17">
    <w:abstractNumId w:val="21"/>
  </w:num>
  <w:num w:numId="18">
    <w:abstractNumId w:val="12"/>
  </w:num>
  <w:num w:numId="19">
    <w:abstractNumId w:val="17"/>
    <w:lvlOverride w:ilvl="0">
      <w:lvl w:ilvl="0">
        <w:numFmt w:val="lowerLetter"/>
        <w:lvlText w:val="%1."/>
        <w:lvlJc w:val="left"/>
      </w:lvl>
    </w:lvlOverride>
  </w:num>
  <w:num w:numId="20">
    <w:abstractNumId w:val="10"/>
    <w:lvlOverride w:ilvl="0">
      <w:lvl w:ilvl="0">
        <w:numFmt w:val="lowerRoman"/>
        <w:lvlText w:val="%1."/>
        <w:lvlJc w:val="right"/>
      </w:lvl>
    </w:lvlOverride>
  </w:num>
  <w:num w:numId="21">
    <w:abstractNumId w:val="14"/>
    <w:lvlOverride w:ilvl="0">
      <w:lvl w:ilvl="0">
        <w:numFmt w:val="lowerRoman"/>
        <w:lvlText w:val="%1."/>
        <w:lvlJc w:val="right"/>
      </w:lvl>
    </w:lvlOverride>
  </w:num>
  <w:num w:numId="22">
    <w:abstractNumId w:val="3"/>
  </w:num>
  <w:num w:numId="23">
    <w:abstractNumId w:val="4"/>
    <w:lvlOverride w:ilvl="0">
      <w:lvl w:ilvl="0">
        <w:numFmt w:val="decimal"/>
        <w:lvlText w:val="%1."/>
        <w:lvlJc w:val="left"/>
      </w:lvl>
    </w:lvlOverride>
  </w:num>
  <w:num w:numId="24">
    <w:abstractNumId w:val="20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revisionView w:inkAnnotations="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9D"/>
    <w:rsid w:val="00042A2B"/>
    <w:rsid w:val="001B37A1"/>
    <w:rsid w:val="00210E89"/>
    <w:rsid w:val="00230A40"/>
    <w:rsid w:val="00303F1D"/>
    <w:rsid w:val="00305811"/>
    <w:rsid w:val="003630BF"/>
    <w:rsid w:val="003E06DC"/>
    <w:rsid w:val="00405132"/>
    <w:rsid w:val="00415591"/>
    <w:rsid w:val="0042099E"/>
    <w:rsid w:val="00443C4F"/>
    <w:rsid w:val="00486879"/>
    <w:rsid w:val="00491B1F"/>
    <w:rsid w:val="0052269C"/>
    <w:rsid w:val="0054170F"/>
    <w:rsid w:val="00565984"/>
    <w:rsid w:val="00584B22"/>
    <w:rsid w:val="006843CB"/>
    <w:rsid w:val="006A31FB"/>
    <w:rsid w:val="006B257B"/>
    <w:rsid w:val="006E3793"/>
    <w:rsid w:val="006E7FA7"/>
    <w:rsid w:val="006F01A0"/>
    <w:rsid w:val="00704EC6"/>
    <w:rsid w:val="0073453D"/>
    <w:rsid w:val="00790675"/>
    <w:rsid w:val="007B3DF1"/>
    <w:rsid w:val="0080438A"/>
    <w:rsid w:val="008660F3"/>
    <w:rsid w:val="00866390"/>
    <w:rsid w:val="008E6BBE"/>
    <w:rsid w:val="009168F0"/>
    <w:rsid w:val="00933034"/>
    <w:rsid w:val="009753B6"/>
    <w:rsid w:val="009A1A3F"/>
    <w:rsid w:val="009F4096"/>
    <w:rsid w:val="009F55C0"/>
    <w:rsid w:val="00A7249D"/>
    <w:rsid w:val="00A7660A"/>
    <w:rsid w:val="00AD54B2"/>
    <w:rsid w:val="00B72CD3"/>
    <w:rsid w:val="00BB30AB"/>
    <w:rsid w:val="00BC1694"/>
    <w:rsid w:val="00C300FE"/>
    <w:rsid w:val="00C4553B"/>
    <w:rsid w:val="00C922BF"/>
    <w:rsid w:val="00CE3F37"/>
    <w:rsid w:val="00CE5413"/>
    <w:rsid w:val="00D66154"/>
    <w:rsid w:val="00D709BB"/>
    <w:rsid w:val="00DA5B47"/>
    <w:rsid w:val="00E25E77"/>
    <w:rsid w:val="00E332F5"/>
    <w:rsid w:val="00E63825"/>
    <w:rsid w:val="00E64FBC"/>
    <w:rsid w:val="00E947BA"/>
    <w:rsid w:val="00EA46AA"/>
    <w:rsid w:val="00EB1C7B"/>
    <w:rsid w:val="00EF7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F6F697"/>
  <w15:chartTrackingRefBased/>
  <w15:docId w15:val="{46A4E373-268C-46A1-9F4C-A82C5907B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86879"/>
    <w:rPr>
      <w:rFonts w:eastAsia="MS Minch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7660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7660A"/>
  </w:style>
  <w:style w:type="paragraph" w:styleId="Footer">
    <w:name w:val="footer"/>
    <w:basedOn w:val="Normal"/>
    <w:link w:val="FooterChar"/>
    <w:uiPriority w:val="99"/>
    <w:unhideWhenUsed/>
    <w:rsid w:val="00A7660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660A"/>
  </w:style>
  <w:style w:type="paragraph" w:styleId="ListParagraph">
    <w:name w:val="List Paragraph"/>
    <w:basedOn w:val="Normal"/>
    <w:rsid w:val="00BB30AB"/>
    <w:pPr>
      <w:ind w:left="720"/>
      <w:contextualSpacing/>
    </w:pPr>
  </w:style>
  <w:style w:type="table" w:styleId="TableGrid">
    <w:name w:val="Table Grid"/>
    <w:basedOn w:val="TableNormal"/>
    <w:uiPriority w:val="39"/>
    <w:rsid w:val="009168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433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orraine\AppData\Local\Packages\microsoft.windowscommunicationsapps_8wekyb3d8bbwe\LocalState\Files\S0\3\Colour%20LogoOnly%5b18%5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Colour LogoOnly[18].dotx</Template>
  <TotalTime>1</TotalTime>
  <Pages>4</Pages>
  <Words>1246</Words>
  <Characters>7103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</dc:creator>
  <cp:keywords/>
  <dc:description/>
  <cp:lastModifiedBy>Helen Merrill</cp:lastModifiedBy>
  <cp:revision>2</cp:revision>
  <dcterms:created xsi:type="dcterms:W3CDTF">2018-10-22T09:50:00Z</dcterms:created>
  <dcterms:modified xsi:type="dcterms:W3CDTF">2018-10-22T09:50:00Z</dcterms:modified>
</cp:coreProperties>
</file>